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W w:w="112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119"/>
        <w:gridCol w:w="1471"/>
      </w:tblGrid>
      <w:tr w:rsidR="00000000">
        <w:trPr>
          <w:trHeight w:val="1230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0" cy="762000"/>
                  <wp:effectExtent l="0" t="0" r="0" b="0"/>
                  <wp:docPr id="8" name="Imagen 8" descr="R:\WebSite1\animacio\ban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WebSite1\animacio\ban1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80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00000" w:rsidRDefault="00F54264">
            <w:r>
              <w:rPr>
                <w:noProof/>
              </w:rPr>
              <w:drawing>
                <wp:inline distT="0" distB="0" distL="0" distR="0">
                  <wp:extent cx="7620000" cy="1104900"/>
                  <wp:effectExtent l="0" t="0" r="0" b="0"/>
                  <wp:docPr id="7" name="Imagen 7" descr="R:\WebSite1\animacio\in_ma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WebSite1\animacio\in_ma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15"/>
          <w:tblCellSpacing w:w="0" w:type="dxa"/>
          <w:jc w:val="center"/>
        </w:trPr>
        <w:tc>
          <w:tcPr>
            <w:tcW w:w="990" w:type="dxa"/>
            <w:vAlign w:val="center"/>
            <w:hideMark/>
          </w:tcPr>
          <w:p w:rsidR="00000000" w:rsidRDefault="00F54264">
            <w:pPr>
              <w:jc w:val="center"/>
            </w:pPr>
            <w:hyperlink r:id="rId7" w:history="1">
              <w:r>
                <w:rPr>
                  <w:rStyle w:val="Hipervnculo"/>
                </w:rPr>
                <w:t>Menu</w:t>
              </w:r>
            </w:hyperlink>
          </w:p>
        </w:tc>
        <w:tc>
          <w:tcPr>
            <w:tcW w:w="10020" w:type="dxa"/>
            <w:vAlign w:val="center"/>
            <w:hideMark/>
          </w:tcPr>
          <w:p w:rsidR="00000000" w:rsidRDefault="00F54264">
            <w:pPr>
              <w:jc w:val="center"/>
            </w:pPr>
          </w:p>
        </w:tc>
        <w:tc>
          <w:tcPr>
            <w:tcW w:w="870" w:type="dxa"/>
            <w:vAlign w:val="center"/>
            <w:hideMark/>
          </w:tcPr>
          <w:p w:rsidR="00000000" w:rsidRDefault="00F54264">
            <w:pPr>
              <w:jc w:val="right"/>
            </w:pPr>
            <w:hyperlink r:id="rId8" w:history="1">
              <w:r>
                <w:rPr>
                  <w:rStyle w:val="Hipervnculo"/>
                </w:rPr>
                <w:t xml:space="preserve">INICIO </w:t>
              </w:r>
            </w:hyperlink>
          </w:p>
        </w:tc>
      </w:tr>
    </w:tbl>
    <w:p w:rsidR="00000000" w:rsidRDefault="00F54264">
      <w:pPr>
        <w:rPr>
          <w:vanish/>
          <w:lang w:val="es-ES"/>
        </w:rPr>
      </w:pPr>
    </w:p>
    <w:tbl>
      <w:tblPr>
        <w:tblW w:w="112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5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54264">
            <w:pPr>
              <w:rPr>
                <w:lang w:val="es-ES"/>
              </w:rPr>
            </w:pPr>
          </w:p>
        </w:tc>
      </w:tr>
    </w:tbl>
    <w:p w:rsidR="00000000" w:rsidRDefault="00F54264">
      <w:pPr>
        <w:rPr>
          <w:vanish/>
          <w:lang w:val="es-ES"/>
        </w:rPr>
      </w:pPr>
    </w:p>
    <w:tbl>
      <w:tblPr>
        <w:tblW w:w="1193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305"/>
        <w:gridCol w:w="6847"/>
        <w:gridCol w:w="773"/>
      </w:tblGrid>
      <w:tr w:rsidR="00000000" w:rsidTr="00971413">
        <w:trPr>
          <w:gridBefore w:val="1"/>
          <w:tblCellSpacing w:w="15" w:type="dxa"/>
          <w:jc w:val="center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4264">
            <w:pPr>
              <w:rPr>
                <w:rFonts w:ascii="Georgia" w:hAnsi="Georgia"/>
                <w:i/>
                <w:iCs/>
                <w:sz w:val="54"/>
                <w:szCs w:val="54"/>
              </w:rPr>
            </w:pPr>
            <w:r w:rsidRPr="0078219F">
              <w:rPr>
                <w:rFonts w:ascii="Georgia" w:hAnsi="Georgia"/>
                <w:i/>
                <w:noProof/>
                <w:sz w:val="54"/>
                <w:szCs w:val="54"/>
              </w:rPr>
              <w:drawing>
                <wp:inline distT="0" distB="0" distL="0" distR="0">
                  <wp:extent cx="2667000" cy="2000250"/>
                  <wp:effectExtent l="0" t="0" r="0" b="0"/>
                  <wp:docPr id="6" name="Imagen 6" descr="R:\WebSite1\animacio\aran_t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WebSite1\animacio\aran_tec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Georgia" w:hAnsi="Georgia"/>
                <w:i/>
                <w:iCs/>
                <w:sz w:val="54"/>
                <w:szCs w:val="54"/>
              </w:rPr>
            </w:pPr>
            <w:proofErr w:type="spellStart"/>
            <w:r>
              <w:rPr>
                <w:rFonts w:ascii="Georgia" w:hAnsi="Georgia"/>
                <w:i/>
                <w:iCs/>
                <w:sz w:val="54"/>
                <w:szCs w:val="54"/>
              </w:rPr>
              <w:t>Golillas</w:t>
            </w:r>
            <w:proofErr w:type="spellEnd"/>
            <w:r>
              <w:rPr>
                <w:rFonts w:ascii="Georgia" w:hAnsi="Georgia"/>
                <w:i/>
                <w:iCs/>
                <w:sz w:val="54"/>
                <w:szCs w:val="5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iCs/>
                <w:sz w:val="54"/>
                <w:szCs w:val="54"/>
              </w:rPr>
              <w:t>Aranlock</w:t>
            </w:r>
            <w:proofErr w:type="spellEnd"/>
          </w:p>
        </w:tc>
      </w:tr>
      <w:tr w:rsidR="00000000" w:rsidTr="0097141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8" w:type="dxa"/>
          <w:tblCellSpacing w:w="0" w:type="dxa"/>
          <w:jc w:val="center"/>
        </w:trPr>
        <w:tc>
          <w:tcPr>
            <w:tcW w:w="11115" w:type="dxa"/>
            <w:gridSpan w:val="3"/>
            <w:vAlign w:val="center"/>
            <w:hideMark/>
          </w:tcPr>
          <w:p w:rsidR="00000000" w:rsidRDefault="00F54264">
            <w:pPr>
              <w:rPr>
                <w:lang w:val="es-ES"/>
              </w:rPr>
            </w:pPr>
            <w:bookmarkStart w:id="0" w:name="_GoBack"/>
            <w:bookmarkEnd w:id="0"/>
          </w:p>
        </w:tc>
      </w:tr>
      <w:tr w:rsidR="00000000" w:rsidRPr="00373254" w:rsidTr="0097141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8" w:type="dxa"/>
          <w:trHeight w:val="7830"/>
          <w:tblCellSpacing w:w="0" w:type="dxa"/>
          <w:jc w:val="center"/>
        </w:trPr>
        <w:tc>
          <w:tcPr>
            <w:tcW w:w="1111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Pr="00373254" w:rsidRDefault="00F54264">
            <w:pPr>
              <w:pStyle w:val="NormalWeb"/>
              <w:jc w:val="center"/>
              <w:rPr>
                <w:lang w:val="es-CL"/>
              </w:rPr>
            </w:pPr>
          </w:p>
          <w:p w:rsidR="00000000" w:rsidRPr="00373254" w:rsidRDefault="00F54264">
            <w:pPr>
              <w:pStyle w:val="estilo13"/>
              <w:rPr>
                <w:lang w:val="es-CL"/>
              </w:rPr>
            </w:pPr>
            <w:r w:rsidRPr="00373254">
              <w:rPr>
                <w:lang w:val="es-CL"/>
              </w:rPr>
              <w:t xml:space="preserve">Las </w:t>
            </w:r>
            <w:r w:rsidRPr="00373254">
              <w:rPr>
                <w:rStyle w:val="Textoennegrita"/>
                <w:lang w:val="es-CL"/>
              </w:rPr>
              <w:t xml:space="preserve">Golillas </w:t>
            </w:r>
            <w:proofErr w:type="spellStart"/>
            <w:r w:rsidRPr="00373254">
              <w:rPr>
                <w:rStyle w:val="Textoennegrita"/>
                <w:lang w:val="es-CL"/>
              </w:rPr>
              <w:t>Aranlock</w:t>
            </w:r>
            <w:proofErr w:type="spellEnd"/>
            <w:r w:rsidRPr="00373254">
              <w:rPr>
                <w:lang w:val="es-CL"/>
              </w:rPr>
              <w:t xml:space="preserve"> son muy adecuadas</w:t>
            </w:r>
            <w:r w:rsidRPr="00373254">
              <w:rPr>
                <w:lang w:val="es-CL"/>
              </w:rPr>
              <w:t xml:space="preserve"> para la fijación </w:t>
            </w:r>
            <w:r w:rsidRPr="00373254">
              <w:rPr>
                <w:rStyle w:val="Textoennegrita"/>
                <w:lang w:val="es-CL"/>
              </w:rPr>
              <w:t xml:space="preserve">rápida y segura </w:t>
            </w:r>
            <w:r w:rsidRPr="00373254">
              <w:rPr>
                <w:lang w:val="es-CL"/>
              </w:rPr>
              <w:t>de elementos a ejes, tubo, remaches, etc.</w:t>
            </w:r>
          </w:p>
          <w:p w:rsidR="00000000" w:rsidRPr="00373254" w:rsidRDefault="00F54264">
            <w:pPr>
              <w:pStyle w:val="estilo13"/>
              <w:rPr>
                <w:lang w:val="es-CL"/>
              </w:rPr>
            </w:pPr>
            <w:r w:rsidRPr="00373254">
              <w:rPr>
                <w:lang w:val="es-CL"/>
              </w:rPr>
              <w:t xml:space="preserve">Para la colocación de estas arandelas no es necesario hacer una ranura en el eje, lo que proporciona un gran ahorro de </w:t>
            </w:r>
            <w:r w:rsidRPr="00373254">
              <w:rPr>
                <w:rStyle w:val="Textoennegrita"/>
                <w:lang w:val="es-CL"/>
              </w:rPr>
              <w:t xml:space="preserve">tiempo </w:t>
            </w:r>
            <w:r w:rsidRPr="00373254">
              <w:rPr>
                <w:lang w:val="es-CL"/>
              </w:rPr>
              <w:t xml:space="preserve">en el montaje. Dado que este tipo de arandelas dispone de una pestaña ligeramente inclinada, que permite la </w:t>
            </w:r>
            <w:r w:rsidRPr="00373254">
              <w:rPr>
                <w:rStyle w:val="Textoennegrita"/>
                <w:lang w:val="es-CL"/>
              </w:rPr>
              <w:t xml:space="preserve">colocación </w:t>
            </w:r>
            <w:r w:rsidRPr="00373254">
              <w:rPr>
                <w:lang w:val="es-CL"/>
              </w:rPr>
              <w:t>muy fácil e</w:t>
            </w:r>
            <w:r w:rsidRPr="00373254">
              <w:rPr>
                <w:lang w:val="es-CL"/>
              </w:rPr>
              <w:t>n el sentido de la flecha "</w:t>
            </w:r>
            <w:r w:rsidRPr="00373254">
              <w:rPr>
                <w:rStyle w:val="estilo141"/>
                <w:lang w:val="es-CL"/>
              </w:rPr>
              <w:t>F</w:t>
            </w:r>
            <w:r w:rsidRPr="00373254">
              <w:rPr>
                <w:lang w:val="es-CL"/>
              </w:rPr>
              <w:t xml:space="preserve">", es prácticamente imposible de extraer (sólo con rotura de la </w:t>
            </w:r>
            <w:proofErr w:type="gramStart"/>
            <w:r w:rsidRPr="00373254">
              <w:rPr>
                <w:lang w:val="es-CL"/>
              </w:rPr>
              <w:t>arandela)  por</w:t>
            </w:r>
            <w:proofErr w:type="gramEnd"/>
            <w:r w:rsidRPr="00373254">
              <w:rPr>
                <w:lang w:val="es-CL"/>
              </w:rPr>
              <w:t xml:space="preserve"> el extremo "</w:t>
            </w:r>
            <w:r w:rsidRPr="00373254">
              <w:rPr>
                <w:rStyle w:val="estilo141"/>
                <w:lang w:val="es-CL"/>
              </w:rPr>
              <w:t>A</w:t>
            </w:r>
            <w:r w:rsidRPr="00373254">
              <w:rPr>
                <w:lang w:val="es-CL"/>
              </w:rPr>
              <w:t>", ya que las pestañas quedan fuertemente  </w:t>
            </w:r>
            <w:r w:rsidRPr="00373254">
              <w:rPr>
                <w:rStyle w:val="Textoennegrita"/>
                <w:lang w:val="es-CL"/>
              </w:rPr>
              <w:t xml:space="preserve">agarradas </w:t>
            </w:r>
            <w:r w:rsidRPr="00373254">
              <w:rPr>
                <w:lang w:val="es-CL"/>
              </w:rPr>
              <w:t xml:space="preserve">al eje. </w:t>
            </w:r>
          </w:p>
          <w:p w:rsidR="00000000" w:rsidRPr="00373254" w:rsidRDefault="00F54264">
            <w:pPr>
              <w:pStyle w:val="estilo13"/>
              <w:rPr>
                <w:lang w:val="es-CL"/>
              </w:rPr>
            </w:pPr>
            <w:r w:rsidRPr="00373254">
              <w:rPr>
                <w:lang w:val="es-CL"/>
              </w:rPr>
              <w:t>La</w:t>
            </w:r>
            <w:r w:rsidRPr="00373254">
              <w:rPr>
                <w:rStyle w:val="Textoennegrita"/>
                <w:lang w:val="es-CL"/>
              </w:rPr>
              <w:t xml:space="preserve"> Golilla </w:t>
            </w:r>
            <w:proofErr w:type="spellStart"/>
            <w:r w:rsidRPr="00373254">
              <w:rPr>
                <w:rStyle w:val="Textoennegrita"/>
                <w:lang w:val="es-CL"/>
              </w:rPr>
              <w:t>Aranlock</w:t>
            </w:r>
            <w:proofErr w:type="spellEnd"/>
            <w:r w:rsidRPr="00373254">
              <w:rPr>
                <w:lang w:val="es-CL"/>
              </w:rPr>
              <w:t xml:space="preserve">   al tener una gran sección de agarre, tienen una nota</w:t>
            </w:r>
            <w:r w:rsidRPr="00373254">
              <w:rPr>
                <w:lang w:val="es-CL"/>
              </w:rPr>
              <w:t xml:space="preserve">ble </w:t>
            </w:r>
            <w:r w:rsidRPr="00373254">
              <w:rPr>
                <w:rStyle w:val="Textoennegrita"/>
                <w:lang w:val="es-CL"/>
              </w:rPr>
              <w:t xml:space="preserve">resistencia </w:t>
            </w:r>
            <w:r w:rsidRPr="00373254">
              <w:rPr>
                <w:lang w:val="es-CL"/>
              </w:rPr>
              <w:t xml:space="preserve">a los esfuerzos axiales. Las </w:t>
            </w:r>
            <w:r w:rsidRPr="00373254">
              <w:rPr>
                <w:rStyle w:val="Textoennegrita"/>
                <w:lang w:val="es-CL"/>
              </w:rPr>
              <w:t xml:space="preserve">aplicaciones </w:t>
            </w:r>
            <w:r w:rsidRPr="00373254">
              <w:rPr>
                <w:lang w:val="es-CL"/>
              </w:rPr>
              <w:t>de las</w:t>
            </w:r>
            <w:r w:rsidRPr="00373254">
              <w:rPr>
                <w:rStyle w:val="Textoennegrita"/>
                <w:lang w:val="es-CL"/>
              </w:rPr>
              <w:t xml:space="preserve"> Golillas </w:t>
            </w:r>
            <w:proofErr w:type="spellStart"/>
            <w:r w:rsidRPr="00373254">
              <w:rPr>
                <w:rStyle w:val="Textoennegrita"/>
                <w:lang w:val="es-CL"/>
              </w:rPr>
              <w:t>Aranlock</w:t>
            </w:r>
            <w:proofErr w:type="spellEnd"/>
            <w:r w:rsidRPr="00373254">
              <w:rPr>
                <w:lang w:val="es-CL"/>
              </w:rPr>
              <w:t xml:space="preserve"> son múltiples, como pueden ser: pequeños aparatos domésticos, materiales eléctricos y especialmente en el ramo de Juguetería.</w:t>
            </w:r>
          </w:p>
          <w:p w:rsidR="00000000" w:rsidRPr="00373254" w:rsidRDefault="00F54264">
            <w:pPr>
              <w:pStyle w:val="estilo13"/>
              <w:rPr>
                <w:lang w:val="es-CL"/>
              </w:rPr>
            </w:pPr>
            <w:r w:rsidRPr="00373254">
              <w:rPr>
                <w:lang w:val="es-CL"/>
              </w:rPr>
              <w:t>Las</w:t>
            </w:r>
            <w:r w:rsidRPr="00373254">
              <w:rPr>
                <w:rStyle w:val="Textoennegrita"/>
                <w:lang w:val="es-CL"/>
              </w:rPr>
              <w:t xml:space="preserve"> Golillas </w:t>
            </w:r>
            <w:proofErr w:type="spellStart"/>
            <w:r w:rsidRPr="00373254">
              <w:rPr>
                <w:rStyle w:val="Textoennegrita"/>
                <w:lang w:val="es-CL"/>
              </w:rPr>
              <w:t>Aranlock</w:t>
            </w:r>
            <w:proofErr w:type="spellEnd"/>
            <w:r w:rsidRPr="00373254">
              <w:rPr>
                <w:lang w:val="es-CL"/>
              </w:rPr>
              <w:t> son fabricadas en acero p</w:t>
            </w:r>
            <w:r w:rsidRPr="00373254">
              <w:rPr>
                <w:lang w:val="es-CL"/>
              </w:rPr>
              <w:t>ara resorte SAE 1070 cuya composición química es la siguiente:</w:t>
            </w:r>
          </w:p>
          <w:p w:rsidR="00000000" w:rsidRPr="00373254" w:rsidRDefault="00F54264">
            <w:pPr>
              <w:pStyle w:val="NormalWeb"/>
              <w:jc w:val="center"/>
              <w:rPr>
                <w:lang w:val="es-CL"/>
              </w:rPr>
            </w:pPr>
          </w:p>
        </w:tc>
      </w:tr>
      <w:tr w:rsidR="00000000" w:rsidRPr="00971413" w:rsidTr="0097141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8" w:type="dxa"/>
          <w:trHeight w:val="1305"/>
          <w:tblCellSpacing w:w="0" w:type="dxa"/>
          <w:jc w:val="center"/>
        </w:trPr>
        <w:tc>
          <w:tcPr>
            <w:tcW w:w="1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Pr="00971413" w:rsidRDefault="00F54264" w:rsidP="00971413">
            <w:pPr>
              <w:jc w:val="center"/>
              <w:rPr>
                <w:lang w:val="es-CL"/>
              </w:rPr>
            </w:pPr>
            <w:r w:rsidRPr="00373254">
              <w:rPr>
                <w:rStyle w:val="Textoennegrita"/>
                <w:i/>
                <w:iCs/>
                <w:sz w:val="45"/>
                <w:szCs w:val="45"/>
                <w:lang w:val="es-CL"/>
              </w:rPr>
              <w:t xml:space="preserve">Carbono máx. </w:t>
            </w:r>
            <w:r w:rsidRPr="00373254">
              <w:rPr>
                <w:rStyle w:val="estilo171"/>
                <w:lang w:val="es-CL"/>
              </w:rPr>
              <w:t>0,75</w:t>
            </w:r>
            <w:r w:rsidRPr="00373254">
              <w:rPr>
                <w:rStyle w:val="Textoennegrita"/>
                <w:i/>
                <w:iCs/>
                <w:sz w:val="45"/>
                <w:szCs w:val="45"/>
                <w:lang w:val="es-CL"/>
              </w:rPr>
              <w:t>          Manganeso</w:t>
            </w:r>
            <w:r w:rsidRPr="00373254">
              <w:rPr>
                <w:rStyle w:val="estilo171"/>
                <w:lang w:val="es-CL"/>
              </w:rPr>
              <w:t xml:space="preserve">: </w:t>
            </w:r>
            <w:r w:rsidRPr="00373254">
              <w:rPr>
                <w:rStyle w:val="Textoennegrita"/>
                <w:i/>
                <w:iCs/>
                <w:sz w:val="45"/>
                <w:szCs w:val="45"/>
                <w:lang w:val="es-CL"/>
              </w:rPr>
              <w:t xml:space="preserve">0,60 </w:t>
            </w:r>
            <w:r w:rsidRPr="00373254">
              <w:rPr>
                <w:rStyle w:val="estilo171"/>
                <w:lang w:val="es-CL"/>
              </w:rPr>
              <w:t xml:space="preserve">- </w:t>
            </w:r>
            <w:r w:rsidRPr="00373254">
              <w:rPr>
                <w:rStyle w:val="Textoennegrita"/>
                <w:i/>
                <w:iCs/>
                <w:sz w:val="45"/>
                <w:szCs w:val="45"/>
                <w:lang w:val="es-CL"/>
              </w:rPr>
              <w:t>0,90</w:t>
            </w:r>
            <w:r w:rsidRPr="00373254">
              <w:rPr>
                <w:b/>
                <w:bCs/>
                <w:i/>
                <w:iCs/>
                <w:sz w:val="45"/>
                <w:szCs w:val="45"/>
                <w:lang w:val="es-CL"/>
              </w:rPr>
              <w:br/>
            </w:r>
            <w:r w:rsidRPr="00373254">
              <w:rPr>
                <w:rStyle w:val="Textoennegrita"/>
                <w:i/>
                <w:iCs/>
                <w:sz w:val="45"/>
                <w:szCs w:val="45"/>
                <w:lang w:val="es-CL"/>
              </w:rPr>
              <w:t xml:space="preserve">Fósforo máx. </w:t>
            </w:r>
            <w:r w:rsidRPr="00373254">
              <w:rPr>
                <w:rStyle w:val="estilo171"/>
                <w:lang w:val="es-CL"/>
              </w:rPr>
              <w:t xml:space="preserve">0,04           </w:t>
            </w:r>
            <w:r w:rsidRPr="00373254">
              <w:rPr>
                <w:rStyle w:val="Textoennegrita"/>
                <w:i/>
                <w:iCs/>
                <w:sz w:val="45"/>
                <w:szCs w:val="45"/>
                <w:lang w:val="es-CL"/>
              </w:rPr>
              <w:t>Azufre máx.   </w:t>
            </w:r>
            <w:r w:rsidRPr="00373254">
              <w:rPr>
                <w:rStyle w:val="estilo171"/>
                <w:lang w:val="es-CL"/>
              </w:rPr>
              <w:t xml:space="preserve"> </w:t>
            </w:r>
            <w:r w:rsidRPr="00971413">
              <w:rPr>
                <w:rStyle w:val="estilo171"/>
                <w:lang w:val="es-CL"/>
              </w:rPr>
              <w:t xml:space="preserve">0,50 </w:t>
            </w:r>
          </w:p>
        </w:tc>
      </w:tr>
      <w:tr w:rsidR="00000000" w:rsidRPr="00971413" w:rsidTr="0097141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8" w:type="dxa"/>
          <w:trHeight w:val="315"/>
          <w:tblCellSpacing w:w="0" w:type="dxa"/>
          <w:jc w:val="center"/>
        </w:trPr>
        <w:tc>
          <w:tcPr>
            <w:tcW w:w="111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971413" w:rsidRDefault="00F54264">
            <w:pPr>
              <w:jc w:val="center"/>
              <w:rPr>
                <w:lang w:val="es-CL"/>
              </w:rPr>
            </w:pPr>
            <w:r w:rsidRPr="00971413">
              <w:rPr>
                <w:lang w:val="es-CL"/>
              </w:rPr>
              <w:t> </w:t>
            </w:r>
          </w:p>
        </w:tc>
      </w:tr>
      <w:tr w:rsidR="00000000" w:rsidTr="0097141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8" w:type="dxa"/>
          <w:tblCellSpacing w:w="0" w:type="dxa"/>
          <w:jc w:val="center"/>
        </w:trPr>
        <w:tc>
          <w:tcPr>
            <w:tcW w:w="111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54264">
            <w:pPr>
              <w:jc w:val="center"/>
            </w:pPr>
            <w:r w:rsidRPr="00780ACE">
              <w:rPr>
                <w:noProof/>
              </w:rPr>
              <w:drawing>
                <wp:inline distT="0" distB="0" distL="0" distR="0">
                  <wp:extent cx="5716841" cy="1903936"/>
                  <wp:effectExtent l="38100" t="19050" r="170180" b="115570"/>
                  <wp:docPr id="5" name="ARAN_TEC" descr="R:\WebSite1\imagenes\ARAN_T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AN_TEC" descr="R:\WebSite1\imagenes\ARAN_T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27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4200000" sx="102000" sy="102000" algn="tl" rotWithShape="0">
                              <a:prstClr val="black">
                                <a:alpha val="40000"/>
                              </a:prstClr>
                            </a:outerShdw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54264">
      <w:pPr>
        <w:rPr>
          <w:lang w:val="es-ES"/>
        </w:rPr>
      </w:pPr>
      <w:r>
        <w:rPr>
          <w:lang w:val="es-ES"/>
        </w:rPr>
        <w:t xml:space="preserve">  </w:t>
      </w:r>
    </w:p>
    <w:tbl>
      <w:tblPr>
        <w:tblW w:w="10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094"/>
        <w:gridCol w:w="1892"/>
        <w:gridCol w:w="2428"/>
        <w:gridCol w:w="1260"/>
        <w:gridCol w:w="882"/>
        <w:gridCol w:w="1098"/>
        <w:gridCol w:w="268"/>
      </w:tblGrid>
      <w:tr w:rsidR="00000000" w:rsidTr="009658C7">
        <w:trPr>
          <w:gridAfter w:val="1"/>
          <w:wAfter w:w="268" w:type="dxa"/>
          <w:trHeight w:val="360"/>
          <w:jc w:val="center"/>
        </w:trPr>
        <w:tc>
          <w:tcPr>
            <w:tcW w:w="10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estilo71"/>
                <w:b/>
                <w:bCs/>
              </w:rPr>
              <w:t>MEDIDA DE ARANLOCK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 w:rsidTr="009658C7">
        <w:trPr>
          <w:gridAfter w:val="1"/>
          <w:wAfter w:w="268" w:type="dxa"/>
          <w:trHeight w:val="417"/>
          <w:jc w:val="center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54264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Diámetros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Ejes</w:t>
            </w:r>
            <w:proofErr w:type="spellEnd"/>
            <w:r>
              <w:rPr>
                <w:sz w:val="28"/>
                <w:szCs w:val="28"/>
              </w:rPr>
              <w:t xml:space="preserve"> "d"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Diám</w:t>
            </w:r>
            <w:proofErr w:type="spellEnd"/>
            <w:r>
              <w:rPr>
                <w:sz w:val="28"/>
                <w:szCs w:val="28"/>
              </w:rPr>
              <w:t>. exterior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Agujero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Ranura</w:t>
            </w:r>
            <w:proofErr w:type="spellEnd"/>
          </w:p>
        </w:tc>
      </w:tr>
      <w:tr w:rsidR="00000000" w:rsidTr="009658C7">
        <w:trPr>
          <w:gridAfter w:val="1"/>
          <w:wAfter w:w="268" w:type="dxa"/>
          <w:trHeight w:val="417"/>
          <w:jc w:val="center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</w:tr>
      <w:tr w:rsidR="00000000" w:rsidTr="009658C7">
        <w:trPr>
          <w:gridAfter w:val="1"/>
          <w:wAfter w:w="268" w:type="dxa"/>
          <w:trHeight w:val="417"/>
          <w:jc w:val="center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rPr>
                <w:sz w:val="28"/>
                <w:szCs w:val="28"/>
              </w:rPr>
            </w:pPr>
          </w:p>
        </w:tc>
      </w:tr>
      <w:tr w:rsidR="00000000" w:rsidTr="009658C7">
        <w:trPr>
          <w:gridAfter w:val="1"/>
          <w:wAfter w:w="268" w:type="dxa"/>
          <w:trHeight w:val="360"/>
          <w:jc w:val="center"/>
        </w:trPr>
        <w:tc>
          <w:tcPr>
            <w:tcW w:w="15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pulg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37325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3.00</w:t>
            </w:r>
            <w:r w:rsidR="00F54264" w:rsidRPr="00041B9D"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 w:rsidRPr="00041B9D">
              <w:rPr>
                <w:rStyle w:val="msonormal1"/>
              </w:rPr>
              <w:t>10.0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4264"/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11.3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2.60/2.70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1.2/1.6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4264"/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1/8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11.3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2.70/2.80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1.2/1.6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5/32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11.3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3.50/3.65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1.2/1.6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shd w:val="clear" w:color="auto" w:fill="FFFF99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3/16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11.3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4.30/4.45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1.2/1.6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11.3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4.50/4.65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1.2/1.6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5/32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15.0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3.50/3.65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1.4/1.8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4264"/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15.0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4.50/4.65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1.4/1.8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15.0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5.50/5.65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1.4/1.8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1/4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15.0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5.85/6.00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1.4/1.8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15.0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6.50/6.65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1.4/1.8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5/16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15.0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7.50/7.65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1.4/1.8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5/16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18.0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7.50/7.65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1.8/2.2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18.0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8.50/8.65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1.8/2.2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3/8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18.0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9.05/9.15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1.8/2.2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18.0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9.50/9.65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1.8/2.2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18.0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11.50/11.65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1.8/2.2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 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5/16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21.0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7.50/7.65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1.9/2.3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21.0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9,50/9.65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1.9/2.3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7/16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21.0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10.55/10.70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1.9/2.3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21.0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11.50/11.65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1.9/2.3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  <w:tr w:rsidR="00000000" w:rsidTr="009658C7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1/2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21.0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12.20/12.35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1.9/2.3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54264">
            <w:pPr>
              <w:jc w:val="center"/>
            </w:pPr>
            <w:r>
              <w:t>6</w:t>
            </w:r>
          </w:p>
        </w:tc>
        <w:tc>
          <w:tcPr>
            <w:tcW w:w="268" w:type="dxa"/>
            <w:vAlign w:val="center"/>
            <w:hideMark/>
          </w:tcPr>
          <w:p w:rsidR="00000000" w:rsidRDefault="00F54264">
            <w:pPr>
              <w:rPr>
                <w:sz w:val="20"/>
                <w:szCs w:val="20"/>
              </w:rPr>
            </w:pPr>
          </w:p>
        </w:tc>
      </w:tr>
    </w:tbl>
    <w:p w:rsidR="00000000" w:rsidRDefault="00F54264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370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396"/>
        <w:gridCol w:w="1989"/>
      </w:tblGrid>
      <w:tr w:rsidR="0000000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54264">
            <w:r>
              <w:t xml:space="preserve">Con </w:t>
            </w:r>
            <w:proofErr w:type="spellStart"/>
            <w:r>
              <w:t>fondo</w:t>
            </w:r>
            <w:proofErr w:type="spellEnd"/>
            <w:r>
              <w:t xml:space="preserve"> =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000000" w:rsidRDefault="00F54264"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54264">
            <w:r>
              <w:t xml:space="preserve">Se </w:t>
            </w:r>
            <w:proofErr w:type="spellStart"/>
            <w:r>
              <w:t>mantiene</w:t>
            </w:r>
            <w:proofErr w:type="spellEnd"/>
            <w:r>
              <w:t xml:space="preserve"> stock </w:t>
            </w:r>
          </w:p>
        </w:tc>
      </w:tr>
    </w:tbl>
    <w:p w:rsidR="00000000" w:rsidRDefault="00F54264">
      <w:pPr>
        <w:pStyle w:val="NormalWeb"/>
        <w:rPr>
          <w:lang w:val="es-ES"/>
        </w:rPr>
      </w:pPr>
      <w:r>
        <w:rPr>
          <w:lang w:val="es-ES"/>
        </w:rPr>
        <w:t> </w:t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54"/>
    <w:rsid w:val="00041B9D"/>
    <w:rsid w:val="0034137D"/>
    <w:rsid w:val="00373254"/>
    <w:rsid w:val="006B5969"/>
    <w:rsid w:val="0078219F"/>
    <w:rsid w:val="009658C7"/>
    <w:rsid w:val="00971413"/>
    <w:rsid w:val="00A8756C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4ED7-58C3-47E7-A760-F447689C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estilo2">
    <w:name w:val="estilo2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estilo5">
    <w:name w:val="estilo5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estilo6">
    <w:name w:val="estilo6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style0">
    <w:name w:val="style0"/>
    <w:basedOn w:val="Normal"/>
    <w:pPr>
      <w:spacing w:before="100" w:beforeAutospacing="1" w:after="100" w:afterAutospacing="1"/>
    </w:pPr>
  </w:style>
  <w:style w:type="paragraph" w:customStyle="1" w:styleId="xl43">
    <w:name w:val="xl43"/>
    <w:basedOn w:val="style0"/>
    <w:pPr>
      <w:pBdr>
        <w:top w:val="single" w:sz="4" w:space="0" w:color="auto"/>
        <w:left w:val="single" w:sz="4" w:space="0" w:color="auto"/>
      </w:pBdr>
      <w:jc w:val="center"/>
    </w:pPr>
    <w:rPr>
      <w:sz w:val="28"/>
      <w:szCs w:val="28"/>
    </w:rPr>
  </w:style>
  <w:style w:type="paragraph" w:customStyle="1" w:styleId="xl42">
    <w:name w:val="xl42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xl40">
    <w:name w:val="xl40"/>
    <w:basedOn w:val="style0"/>
    <w:pPr>
      <w:pBdr>
        <w:top w:val="single" w:sz="4" w:space="0" w:color="auto"/>
        <w:left w:val="single" w:sz="4" w:space="0" w:color="auto"/>
        <w:right w:val="single" w:sz="8" w:space="0" w:color="000000"/>
      </w:pBdr>
      <w:jc w:val="center"/>
    </w:pPr>
    <w:rPr>
      <w:sz w:val="28"/>
      <w:szCs w:val="28"/>
    </w:rPr>
  </w:style>
  <w:style w:type="paragraph" w:customStyle="1" w:styleId="xl38">
    <w:name w:val="xl38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xl34">
    <w:name w:val="xl34"/>
    <w:basedOn w:val="style0"/>
    <w:pPr>
      <w:pBdr>
        <w:top w:val="single" w:sz="8" w:space="0" w:color="000000"/>
        <w:left w:val="single" w:sz="8" w:space="0" w:color="000000"/>
        <w:bottom w:val="single" w:sz="4" w:space="0" w:color="auto"/>
      </w:pBdr>
      <w:jc w:val="center"/>
    </w:pPr>
    <w:rPr>
      <w:b/>
      <w:bCs/>
      <w:sz w:val="28"/>
      <w:szCs w:val="28"/>
    </w:rPr>
  </w:style>
  <w:style w:type="paragraph" w:customStyle="1" w:styleId="xl33">
    <w:name w:val="xl33"/>
    <w:basedOn w:val="style0"/>
    <w:pPr>
      <w:pBdr>
        <w:bottom w:val="single" w:sz="8" w:space="0" w:color="000000"/>
        <w:right w:val="single" w:sz="8" w:space="0" w:color="000000"/>
      </w:pBdr>
      <w:jc w:val="center"/>
    </w:pPr>
  </w:style>
  <w:style w:type="paragraph" w:customStyle="1" w:styleId="xl32">
    <w:name w:val="xl32"/>
    <w:basedOn w:val="style0"/>
    <w:pPr>
      <w:pBdr>
        <w:bottom w:val="single" w:sz="8" w:space="0" w:color="000000"/>
        <w:right w:val="single" w:sz="4" w:space="0" w:color="auto"/>
      </w:pBdr>
      <w:jc w:val="center"/>
    </w:pPr>
  </w:style>
  <w:style w:type="paragraph" w:customStyle="1" w:styleId="xl31">
    <w:name w:val="xl31"/>
    <w:basedOn w:val="style0"/>
    <w:pPr>
      <w:pBdr>
        <w:left w:val="single" w:sz="8" w:space="0" w:color="000000"/>
        <w:bottom w:val="single" w:sz="8" w:space="0" w:color="000000"/>
        <w:right w:val="single" w:sz="4" w:space="0" w:color="auto"/>
      </w:pBdr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style0"/>
    <w:pPr>
      <w:pBdr>
        <w:bottom w:val="single" w:sz="4" w:space="0" w:color="auto"/>
        <w:right w:val="single" w:sz="8" w:space="0" w:color="000000"/>
      </w:pBdr>
      <w:jc w:val="center"/>
    </w:pPr>
  </w:style>
  <w:style w:type="paragraph" w:customStyle="1" w:styleId="xl29">
    <w:name w:val="xl29"/>
    <w:basedOn w:val="style0"/>
    <w:pPr>
      <w:pBdr>
        <w:left w:val="single" w:sz="8" w:space="0" w:color="000000"/>
        <w:bottom w:val="single" w:sz="4" w:space="0" w:color="auto"/>
        <w:right w:val="single" w:sz="4" w:space="0" w:color="auto"/>
      </w:pBdr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style0"/>
    <w:pPr>
      <w:pBdr>
        <w:bottom w:val="single" w:sz="4" w:space="0" w:color="auto"/>
        <w:right w:val="single" w:sz="8" w:space="0" w:color="000000"/>
      </w:pBdr>
      <w:jc w:val="center"/>
    </w:pPr>
    <w:rPr>
      <w:b/>
      <w:bCs/>
      <w:sz w:val="28"/>
      <w:szCs w:val="28"/>
    </w:rPr>
  </w:style>
  <w:style w:type="paragraph" w:customStyle="1" w:styleId="xl27">
    <w:name w:val="xl27"/>
    <w:basedOn w:val="style0"/>
    <w:pPr>
      <w:pBdr>
        <w:left w:val="single" w:sz="8" w:space="0" w:color="000000"/>
        <w:bottom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xl26">
    <w:name w:val="xl26"/>
    <w:basedOn w:val="style0"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25">
    <w:name w:val="xl25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24">
    <w:name w:val="xl24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estilo7">
    <w:name w:val="estilo7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estilo13">
    <w:name w:val="estilo13"/>
    <w:basedOn w:val="Normal"/>
    <w:pP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estilo14">
    <w:name w:val="estilo14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estilo16">
    <w:name w:val="estilo16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Georgia" w:hAnsi="Georgia"/>
      <w:i/>
      <w:iCs/>
      <w:sz w:val="54"/>
      <w:szCs w:val="54"/>
    </w:rPr>
  </w:style>
  <w:style w:type="paragraph" w:customStyle="1" w:styleId="estilo17">
    <w:name w:val="estilo17"/>
    <w:basedOn w:val="Normal"/>
    <w:pPr>
      <w:spacing w:before="100" w:beforeAutospacing="1" w:after="100" w:afterAutospacing="1"/>
    </w:pPr>
    <w:rPr>
      <w:b/>
      <w:bCs/>
      <w:i/>
      <w:iCs/>
      <w:sz w:val="45"/>
      <w:szCs w:val="45"/>
    </w:rPr>
  </w:style>
  <w:style w:type="character" w:customStyle="1" w:styleId="estilo21">
    <w:name w:val="estilo21"/>
    <w:rPr>
      <w:sz w:val="27"/>
      <w:szCs w:val="27"/>
    </w:rPr>
  </w:style>
  <w:style w:type="character" w:customStyle="1" w:styleId="estilo51">
    <w:name w:val="estilo51"/>
    <w:rPr>
      <w:b/>
      <w:bCs/>
      <w:sz w:val="27"/>
      <w:szCs w:val="27"/>
    </w:rPr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stilo141">
    <w:name w:val="estilo141"/>
    <w:rPr>
      <w:b/>
      <w:bCs/>
      <w:color w:val="FF0000"/>
    </w:rPr>
  </w:style>
  <w:style w:type="character" w:customStyle="1" w:styleId="estilo171">
    <w:name w:val="estilo171"/>
    <w:rPr>
      <w:rFonts w:ascii="Times New Roman" w:hAnsi="Times New Roman" w:cs="Times New Roman" w:hint="default"/>
      <w:b/>
      <w:bCs/>
      <w:i/>
      <w:iCs/>
      <w:sz w:val="45"/>
      <w:szCs w:val="45"/>
    </w:rPr>
  </w:style>
  <w:style w:type="character" w:customStyle="1" w:styleId="estilo161">
    <w:name w:val="estilo161"/>
    <w:rPr>
      <w:rFonts w:ascii="Georgia" w:hAnsi="Georgia" w:hint="default"/>
      <w:i/>
      <w:iCs/>
      <w:sz w:val="54"/>
      <w:szCs w:val="54"/>
      <w:bdr w:val="single" w:sz="6" w:space="0" w:color="000000" w:frame="1"/>
    </w:rPr>
  </w:style>
  <w:style w:type="character" w:customStyle="1" w:styleId="estilo71">
    <w:name w:val="estilo71"/>
    <w:rPr>
      <w:sz w:val="36"/>
      <w:szCs w:val="36"/>
    </w:rPr>
  </w:style>
  <w:style w:type="character" w:customStyle="1" w:styleId="msonormal1">
    <w:name w:val="msonormal1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WebSite1\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R:\WebSite1\produ\produ.html" TargetMode="External"/><Relationship Id="rId12" Type="http://schemas.openxmlformats.org/officeDocument/2006/relationships/theme" Target="theme/theme1.xml"/><Relationship Id="rId2" Type="http://schemas.openxmlformats.org/officeDocument/2006/relationships/image" Target="../../imagenes/aran_FOND.jpg" TargetMode="External"/><Relationship Id="rId1" Type="http://schemas.openxmlformats.org/officeDocument/2006/relationships/styles" Target="styles.xml"/><Relationship Id="rId6" Type="http://schemas.openxmlformats.org/officeDocument/2006/relationships/image" Target="file:///R:\WebSite1\animacio\in_mad7.gif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R:\WebSite1\animacio\ban11.gif" TargetMode="External"/><Relationship Id="rId10" Type="http://schemas.openxmlformats.org/officeDocument/2006/relationships/image" Target="file:///R:\WebSite1\imagenes\ARAN_TE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R:\WebSite1\animacio\aran_tec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Resortes madrigal - Golilla Aranlock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Resortes madrigal - Golilla Aranlock</dc:title>
  <dc:subject/>
  <dc:creator>Usuario de Windows</dc:creator>
  <cp:keywords/>
  <dc:description/>
  <cp:lastModifiedBy>Usuario de Windows</cp:lastModifiedBy>
  <cp:revision>2</cp:revision>
  <dcterms:created xsi:type="dcterms:W3CDTF">2019-09-30T04:31:00Z</dcterms:created>
  <dcterms:modified xsi:type="dcterms:W3CDTF">2019-09-30T04:31:00Z</dcterms:modified>
</cp:coreProperties>
</file>